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C28A1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77DF9A14" w14:textId="055E8C63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5826D931" w14:textId="419828B5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6567043D" w14:textId="3EC07098" w:rsidR="00523086" w:rsidRPr="001F2CCE" w:rsidRDefault="002E7960" w:rsidP="00523086">
      <w:pPr>
        <w:rPr>
          <w:rFonts w:ascii="Calibri" w:eastAsia="Times New Roman" w:hAnsi="Calibri" w:cs="Calibri"/>
          <w:b/>
          <w:color w:val="000000"/>
          <w:shd w:val="clear" w:color="auto" w:fill="FFFFFF"/>
          <w:lang w:val="fi-FI" w:eastAsia="en-GB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  <w:tab/>
      </w:r>
      <w:r w:rsidRPr="001F2CCE">
        <w:rPr>
          <w:rFonts w:ascii="Calibri" w:eastAsia="Times New Roman" w:hAnsi="Calibri" w:cs="Calibri"/>
          <w:b/>
          <w:color w:val="000000"/>
          <w:shd w:val="clear" w:color="auto" w:fill="FFFFFF"/>
          <w:lang w:val="fi-FI" w:eastAsia="en-GB"/>
        </w:rPr>
        <w:t>TIEDOTE</w:t>
      </w:r>
    </w:p>
    <w:p w14:paraId="3C1A9764" w14:textId="77777777" w:rsidR="00523086" w:rsidRPr="001F2CCE" w:rsidRDefault="00523086" w:rsidP="00523086">
      <w:pPr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</w:pPr>
    </w:p>
    <w:p w14:paraId="632E9B23" w14:textId="542BA961" w:rsidR="00523086" w:rsidRPr="001F2CCE" w:rsidRDefault="0069452A" w:rsidP="00523086">
      <w:pPr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</w:pP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ab/>
      </w:r>
      <w:r w:rsidR="0045361B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>4</w:t>
      </w:r>
      <w:bookmarkStart w:id="0" w:name="_GoBack"/>
      <w:bookmarkEnd w:id="0"/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>.</w:t>
      </w:r>
      <w:r w:rsidR="004C662E"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>2</w:t>
      </w:r>
      <w:r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>.201</w:t>
      </w:r>
      <w:r w:rsidR="004C662E" w:rsidRPr="001F2CCE">
        <w:rPr>
          <w:rFonts w:ascii="Calibri" w:eastAsia="Times New Roman" w:hAnsi="Calibri" w:cs="Calibri"/>
          <w:color w:val="000000"/>
          <w:shd w:val="clear" w:color="auto" w:fill="FFFFFF"/>
          <w:lang w:val="fi-FI" w:eastAsia="en-GB"/>
        </w:rPr>
        <w:t>9</w:t>
      </w:r>
    </w:p>
    <w:p w14:paraId="2D320C08" w14:textId="77777777" w:rsidR="00E277EE" w:rsidRPr="001F2CCE" w:rsidRDefault="00E277EE" w:rsidP="00BE0490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</w:p>
    <w:p w14:paraId="6EAF34B9" w14:textId="77777777" w:rsidR="00A944EF" w:rsidRPr="001F2CCE" w:rsidRDefault="00A944EF" w:rsidP="00BE0490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</w:p>
    <w:p w14:paraId="07FB3527" w14:textId="77777777" w:rsidR="00DB223C" w:rsidRPr="001F2CCE" w:rsidRDefault="00E277EE" w:rsidP="00BE0490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  <w:r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 xml:space="preserve">UUSI LÄÄKEVARMENNUSJÄRJESTELMÄ </w:t>
      </w:r>
      <w:r w:rsidR="00E751FE"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 xml:space="preserve">NOSTAA </w:t>
      </w:r>
      <w:r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>LÄÄKETURVALLISUU</w:t>
      </w:r>
      <w:r w:rsidR="00E751FE"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>DEN</w:t>
      </w:r>
    </w:p>
    <w:p w14:paraId="0E027651" w14:textId="6765E446" w:rsidR="0069452A" w:rsidRPr="001F2CCE" w:rsidRDefault="00E277EE" w:rsidP="00BE0490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  <w:r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>ENTIS</w:t>
      </w:r>
      <w:r w:rsidR="00E751FE"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>TÄ KORKEAMMALLE TASOLLE SUOMESSA</w:t>
      </w:r>
    </w:p>
    <w:p w14:paraId="37BC6BAC" w14:textId="527B7415" w:rsidR="00E277EE" w:rsidRPr="001F2CCE" w:rsidRDefault="00E277EE" w:rsidP="00BE0490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</w:p>
    <w:p w14:paraId="65213839" w14:textId="70E435DC" w:rsidR="00E277EE" w:rsidRPr="001F2CCE" w:rsidRDefault="00E277EE" w:rsidP="00E277EE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  <w:r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>Kansal</w:t>
      </w:r>
      <w:r w:rsidR="0062079F"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 xml:space="preserve">aiset </w:t>
      </w:r>
      <w:r w:rsidR="00DB223C" w:rsidRPr="001F2CCE"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  <w:t>voivat luottaa lääkkeiden aitouteen</w:t>
      </w:r>
    </w:p>
    <w:p w14:paraId="555BF8CB" w14:textId="5602E19E" w:rsidR="00E277EE" w:rsidRPr="001F2CCE" w:rsidRDefault="00E277EE" w:rsidP="00BE0490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</w:p>
    <w:p w14:paraId="04E19945" w14:textId="7CB2D3C2" w:rsidR="00A301B5" w:rsidRPr="001F2CCE" w:rsidRDefault="00A301B5" w:rsidP="00BE0490">
      <w:pPr>
        <w:rPr>
          <w:rFonts w:ascii="Calibri" w:eastAsia="Times New Roman" w:hAnsi="Calibri" w:cs="Calibri"/>
          <w:b/>
          <w:color w:val="004D7B"/>
          <w:shd w:val="clear" w:color="auto" w:fill="FFFFFF"/>
          <w:lang w:val="fi-FI" w:eastAsia="en-GB"/>
        </w:rPr>
      </w:pPr>
    </w:p>
    <w:p w14:paraId="4421D8CA" w14:textId="41B5FDD4" w:rsidR="00997326" w:rsidRPr="001F2CCE" w:rsidRDefault="00E277EE" w:rsidP="00997326">
      <w:pPr>
        <w:ind w:left="720"/>
        <w:rPr>
          <w:rFonts w:ascii="Calibri" w:hAnsi="Calibri" w:cs="Calibri"/>
          <w:lang w:val="fi-FI"/>
        </w:rPr>
      </w:pPr>
      <w:r w:rsidRPr="001F2CCE">
        <w:rPr>
          <w:rFonts w:ascii="Calibri" w:hAnsi="Calibri" w:cs="Calibri"/>
          <w:b/>
          <w:lang w:val="fi-FI"/>
        </w:rPr>
        <w:t>Suome</w:t>
      </w:r>
      <w:r w:rsidR="00932155" w:rsidRPr="001F2CCE">
        <w:rPr>
          <w:rFonts w:ascii="Calibri" w:hAnsi="Calibri" w:cs="Calibri"/>
          <w:b/>
          <w:lang w:val="fi-FI"/>
        </w:rPr>
        <w:t xml:space="preserve">ssa otetaan käyttöön </w:t>
      </w:r>
      <w:r w:rsidR="00E751FE" w:rsidRPr="001F2CCE">
        <w:rPr>
          <w:rFonts w:ascii="Calibri" w:hAnsi="Calibri" w:cs="Calibri"/>
          <w:b/>
          <w:lang w:val="fi-FI"/>
        </w:rPr>
        <w:t xml:space="preserve">Euroopan laajuinen </w:t>
      </w:r>
      <w:r w:rsidR="00932155" w:rsidRPr="001F2CCE">
        <w:rPr>
          <w:rFonts w:ascii="Calibri" w:hAnsi="Calibri" w:cs="Calibri"/>
          <w:b/>
          <w:lang w:val="fi-FI"/>
        </w:rPr>
        <w:t>lääkevarmennusjärjestelmä 9.</w:t>
      </w:r>
      <w:r w:rsidR="00DB223C" w:rsidRPr="001F2CCE">
        <w:rPr>
          <w:rFonts w:ascii="Calibri" w:hAnsi="Calibri" w:cs="Calibri"/>
          <w:b/>
          <w:lang w:val="fi-FI"/>
        </w:rPr>
        <w:t>2.</w:t>
      </w:r>
      <w:r w:rsidR="00932155" w:rsidRPr="001F2CCE">
        <w:rPr>
          <w:rFonts w:ascii="Calibri" w:hAnsi="Calibri" w:cs="Calibri"/>
          <w:b/>
          <w:lang w:val="fi-FI"/>
        </w:rPr>
        <w:t xml:space="preserve">2019. Reseptilääkkeiden pakkauksiin tulee </w:t>
      </w:r>
      <w:r w:rsidR="00E751FE" w:rsidRPr="001F2CCE">
        <w:rPr>
          <w:rFonts w:ascii="Calibri" w:hAnsi="Calibri" w:cs="Calibri"/>
          <w:b/>
          <w:lang w:val="fi-FI"/>
        </w:rPr>
        <w:t>uudet EU:n vaatimat turva</w:t>
      </w:r>
      <w:r w:rsidR="00997326" w:rsidRPr="001F2CCE">
        <w:rPr>
          <w:rFonts w:ascii="Calibri" w:hAnsi="Calibri" w:cs="Calibri"/>
          <w:b/>
          <w:lang w:val="fi-FI"/>
        </w:rPr>
        <w:t xml:space="preserve">merkinnät, joiden avulla apteekki varmistaa </w:t>
      </w:r>
      <w:r w:rsidR="008F26C1" w:rsidRPr="001F2CCE">
        <w:rPr>
          <w:rFonts w:ascii="Calibri" w:hAnsi="Calibri" w:cs="Calibri"/>
          <w:b/>
          <w:lang w:val="fi-FI"/>
        </w:rPr>
        <w:t>lääkepakkauksen aito</w:t>
      </w:r>
      <w:r w:rsidR="00997326" w:rsidRPr="001F2CCE">
        <w:rPr>
          <w:rFonts w:ascii="Calibri" w:hAnsi="Calibri" w:cs="Calibri"/>
          <w:b/>
          <w:lang w:val="fi-FI"/>
        </w:rPr>
        <w:t xml:space="preserve">uden </w:t>
      </w:r>
      <w:r w:rsidR="00FC5962">
        <w:rPr>
          <w:rFonts w:ascii="Calibri" w:hAnsi="Calibri" w:cs="Calibri"/>
          <w:b/>
          <w:lang w:val="fi-FI"/>
        </w:rPr>
        <w:t xml:space="preserve">entistäkin aukottomammin </w:t>
      </w:r>
      <w:r w:rsidR="00997326" w:rsidRPr="001F2CCE">
        <w:rPr>
          <w:rFonts w:ascii="Calibri" w:hAnsi="Calibri" w:cs="Calibri"/>
          <w:b/>
          <w:lang w:val="fi-FI"/>
        </w:rPr>
        <w:t>ennen lääkkeen luovuttamista asiakkaalle</w:t>
      </w:r>
      <w:r w:rsidR="008F26C1" w:rsidRPr="001F2CCE">
        <w:rPr>
          <w:rFonts w:ascii="Calibri" w:hAnsi="Calibri" w:cs="Calibri"/>
          <w:b/>
          <w:lang w:val="fi-FI"/>
        </w:rPr>
        <w:t>.</w:t>
      </w:r>
      <w:r w:rsidR="00997326" w:rsidRPr="001F2CCE">
        <w:rPr>
          <w:rFonts w:ascii="Calibri" w:hAnsi="Calibri" w:cs="Calibri"/>
          <w:b/>
          <w:lang w:val="fi-FI"/>
        </w:rPr>
        <w:t xml:space="preserve"> Uudistus kitkee lääkeväärennösten mahdollisuuden</w:t>
      </w:r>
      <w:r w:rsidR="008F26C1" w:rsidRPr="001F2CCE">
        <w:rPr>
          <w:rFonts w:ascii="Calibri" w:hAnsi="Calibri" w:cs="Calibri"/>
          <w:b/>
          <w:lang w:val="fi-FI"/>
        </w:rPr>
        <w:t xml:space="preserve"> </w:t>
      </w:r>
      <w:r w:rsidR="00A944EF" w:rsidRPr="001F2CCE">
        <w:rPr>
          <w:rFonts w:ascii="Calibri" w:hAnsi="Calibri" w:cs="Calibri"/>
          <w:b/>
          <w:lang w:val="fi-FI"/>
        </w:rPr>
        <w:t>ja takaa korkean potilasturvallisuuden</w:t>
      </w:r>
      <w:r w:rsidR="00A944EF" w:rsidRPr="001F2CCE">
        <w:rPr>
          <w:rFonts w:ascii="Calibri" w:hAnsi="Calibri" w:cs="Calibri"/>
          <w:lang w:val="fi-FI"/>
        </w:rPr>
        <w:t>.</w:t>
      </w:r>
    </w:p>
    <w:p w14:paraId="02E9BC62" w14:textId="2D113B6A" w:rsidR="00FC59EE" w:rsidRPr="001F2CCE" w:rsidRDefault="00FC59EE" w:rsidP="00DB223C">
      <w:pPr>
        <w:rPr>
          <w:rFonts w:ascii="Calibri" w:hAnsi="Calibri" w:cs="Calibri"/>
          <w:lang w:val="fi-FI"/>
        </w:rPr>
      </w:pPr>
    </w:p>
    <w:p w14:paraId="565D8C86" w14:textId="77777777" w:rsidR="00FC5962" w:rsidRDefault="00DB223C" w:rsidP="00FC59EE">
      <w:pPr>
        <w:ind w:left="720"/>
        <w:rPr>
          <w:rFonts w:ascii="Calibri" w:hAnsi="Calibri" w:cs="Calibri"/>
          <w:lang w:val="fi-FI"/>
        </w:rPr>
      </w:pPr>
      <w:r w:rsidRPr="001F2CCE">
        <w:rPr>
          <w:rFonts w:ascii="Calibri" w:hAnsi="Calibri" w:cs="Calibri"/>
          <w:lang w:val="fi-FI"/>
        </w:rPr>
        <w:t>Suomen lääkejakeluketju käsittelee vuosittain 7</w:t>
      </w:r>
      <w:r w:rsidR="00214429">
        <w:rPr>
          <w:rFonts w:ascii="Calibri" w:hAnsi="Calibri" w:cs="Calibri"/>
          <w:lang w:val="fi-FI"/>
        </w:rPr>
        <w:t>5</w:t>
      </w:r>
      <w:r w:rsidRPr="001F2CCE">
        <w:rPr>
          <w:rFonts w:ascii="Calibri" w:hAnsi="Calibri" w:cs="Calibri"/>
          <w:lang w:val="fi-FI"/>
        </w:rPr>
        <w:t xml:space="preserve">00 eri valmistetta ja </w:t>
      </w:r>
      <w:r w:rsidR="00214429">
        <w:rPr>
          <w:rFonts w:ascii="Calibri" w:hAnsi="Calibri" w:cs="Calibri"/>
          <w:lang w:val="fi-FI"/>
        </w:rPr>
        <w:t xml:space="preserve">lähes </w:t>
      </w:r>
      <w:r w:rsidRPr="001F2CCE">
        <w:rPr>
          <w:rFonts w:ascii="Calibri" w:hAnsi="Calibri" w:cs="Calibri"/>
          <w:lang w:val="fi-FI"/>
        </w:rPr>
        <w:t>70 miljoonaa pakkausta.</w:t>
      </w:r>
      <w:r w:rsidR="00566CBC">
        <w:rPr>
          <w:rFonts w:ascii="Calibri" w:hAnsi="Calibri" w:cs="Calibri"/>
          <w:lang w:val="fi-FI"/>
        </w:rPr>
        <w:t xml:space="preserve"> </w:t>
      </w:r>
    </w:p>
    <w:p w14:paraId="2F50C9EF" w14:textId="77777777" w:rsidR="00FC5962" w:rsidRDefault="00FC5962" w:rsidP="00FC59EE">
      <w:pPr>
        <w:ind w:left="720"/>
        <w:rPr>
          <w:rFonts w:ascii="Calibri" w:hAnsi="Calibri" w:cs="Calibri"/>
          <w:lang w:val="fi-FI"/>
        </w:rPr>
      </w:pPr>
    </w:p>
    <w:p w14:paraId="5BECACAE" w14:textId="646866C7" w:rsidR="00FC59EE" w:rsidRPr="001F2CCE" w:rsidRDefault="00FC59EE" w:rsidP="00FC59EE">
      <w:pPr>
        <w:ind w:left="720"/>
        <w:rPr>
          <w:rFonts w:ascii="Calibri" w:hAnsi="Calibri" w:cs="Calibri"/>
          <w:lang w:val="fi-FI"/>
        </w:rPr>
      </w:pPr>
      <w:r w:rsidRPr="001F2CCE">
        <w:rPr>
          <w:rFonts w:ascii="Calibri" w:hAnsi="Calibri" w:cs="Calibri"/>
          <w:lang w:val="fi-FI"/>
        </w:rPr>
        <w:t xml:space="preserve">”Lääkevarmennusjärjestelmän tavoitteena on varmistaa lääkkeiden aitous. Kun potilas ostaa lääkkeensä laillisesta apteekista tai verkkoapteekista, hän voi luottaa siihen, että lääke on aito”, sanoo Suomen Lääkevarmennus Oy:n toimitusjohtaja </w:t>
      </w:r>
      <w:r w:rsidRPr="00664A85">
        <w:rPr>
          <w:rFonts w:ascii="Calibri" w:hAnsi="Calibri" w:cs="Calibri"/>
          <w:b/>
          <w:lang w:val="fi-FI"/>
        </w:rPr>
        <w:t>Maija Gohlke-Kokkonen</w:t>
      </w:r>
      <w:r w:rsidRPr="001F2CCE">
        <w:rPr>
          <w:rFonts w:ascii="Calibri" w:hAnsi="Calibri" w:cs="Calibri"/>
          <w:lang w:val="fi-FI"/>
        </w:rPr>
        <w:t xml:space="preserve">.   </w:t>
      </w:r>
    </w:p>
    <w:p w14:paraId="1DBA2BD3" w14:textId="1C19D04F" w:rsidR="00A944EF" w:rsidRPr="001F2CCE" w:rsidRDefault="00A944EF" w:rsidP="00997326">
      <w:pPr>
        <w:ind w:left="720"/>
        <w:rPr>
          <w:rFonts w:ascii="Calibri" w:hAnsi="Calibri" w:cs="Calibri"/>
          <w:lang w:val="fi-FI"/>
        </w:rPr>
      </w:pPr>
    </w:p>
    <w:p w14:paraId="24385A5F" w14:textId="143BBEA1" w:rsidR="00F14997" w:rsidRPr="001F2CCE" w:rsidRDefault="00F14997" w:rsidP="00F14997">
      <w:pPr>
        <w:ind w:left="720"/>
        <w:rPr>
          <w:rFonts w:ascii="Calibri" w:hAnsi="Calibri" w:cs="Calibri"/>
          <w:lang w:val="fi-FI"/>
        </w:rPr>
      </w:pPr>
      <w:r w:rsidRPr="001F2CCE">
        <w:rPr>
          <w:rFonts w:ascii="Calibri" w:hAnsi="Calibri" w:cs="Calibri"/>
          <w:lang w:val="fi-FI"/>
        </w:rPr>
        <w:t xml:space="preserve">Lääketurvallisuus </w:t>
      </w:r>
      <w:r w:rsidR="00FC5962">
        <w:rPr>
          <w:rFonts w:ascii="Calibri" w:hAnsi="Calibri" w:cs="Calibri"/>
          <w:lang w:val="fi-FI"/>
        </w:rPr>
        <w:t xml:space="preserve">Suomessa </w:t>
      </w:r>
      <w:r w:rsidRPr="001F2CCE">
        <w:rPr>
          <w:rFonts w:ascii="Calibri" w:hAnsi="Calibri" w:cs="Calibri"/>
          <w:lang w:val="fi-FI"/>
        </w:rPr>
        <w:t xml:space="preserve">on jo valmiiksi korkealla tasolla. </w:t>
      </w:r>
      <w:r w:rsidR="009933F4">
        <w:rPr>
          <w:rFonts w:ascii="Calibri" w:hAnsi="Calibri" w:cs="Calibri"/>
          <w:lang w:val="fi-FI"/>
        </w:rPr>
        <w:t>Toisin kuin monessa</w:t>
      </w:r>
      <w:r w:rsidR="00B8468E">
        <w:rPr>
          <w:rFonts w:ascii="Calibri" w:hAnsi="Calibri" w:cs="Calibri"/>
          <w:lang w:val="fi-FI"/>
        </w:rPr>
        <w:t xml:space="preserve"> muussa Euroopan maassa</w:t>
      </w:r>
      <w:r w:rsidR="00301C51">
        <w:rPr>
          <w:rFonts w:ascii="Calibri" w:hAnsi="Calibri" w:cs="Calibri"/>
          <w:lang w:val="fi-FI"/>
        </w:rPr>
        <w:t>, Suomessa on t</w:t>
      </w:r>
      <w:r w:rsidR="001F2CCE" w:rsidRPr="001F2CCE">
        <w:rPr>
          <w:rFonts w:ascii="Calibri" w:hAnsi="Calibri" w:cs="Calibri"/>
          <w:lang w:val="fi-FI"/>
        </w:rPr>
        <w:t>ähän mennessä</w:t>
      </w:r>
      <w:r w:rsidRPr="001F2CCE">
        <w:rPr>
          <w:rFonts w:ascii="Calibri" w:hAnsi="Calibri" w:cs="Calibri"/>
          <w:lang w:val="fi-FI"/>
        </w:rPr>
        <w:t xml:space="preserve"> ilmennyt vain yksittäisiä tapauksia, joissa lääkeväärennöksiä on päätynyt lailliseen jakeluketjuun.  Uuden </w:t>
      </w:r>
      <w:r w:rsidR="001F2CCE" w:rsidRPr="001F2CCE">
        <w:rPr>
          <w:rFonts w:ascii="Calibri" w:hAnsi="Calibri" w:cs="Calibri"/>
          <w:lang w:val="fi-FI"/>
        </w:rPr>
        <w:t>l</w:t>
      </w:r>
      <w:r w:rsidRPr="001F2CCE">
        <w:rPr>
          <w:rFonts w:ascii="Calibri" w:hAnsi="Calibri" w:cs="Calibri"/>
          <w:lang w:val="fi-FI"/>
        </w:rPr>
        <w:t xml:space="preserve">ääkevarmennusjärjestelmän ansiosta tämä ei jatkossa ole </w:t>
      </w:r>
      <w:r w:rsidR="001F2CCE" w:rsidRPr="001F2CCE">
        <w:rPr>
          <w:rFonts w:ascii="Calibri" w:hAnsi="Calibri" w:cs="Calibri"/>
          <w:lang w:val="fi-FI"/>
        </w:rPr>
        <w:t xml:space="preserve">enää </w:t>
      </w:r>
      <w:r w:rsidRPr="001F2CCE">
        <w:rPr>
          <w:rFonts w:ascii="Calibri" w:hAnsi="Calibri" w:cs="Calibri"/>
          <w:lang w:val="fi-FI"/>
        </w:rPr>
        <w:t>mahdollista.</w:t>
      </w:r>
    </w:p>
    <w:p w14:paraId="25592770" w14:textId="77777777" w:rsidR="00F14997" w:rsidRPr="001F2CCE" w:rsidRDefault="00F14997" w:rsidP="001B6F5C">
      <w:pPr>
        <w:rPr>
          <w:rFonts w:ascii="Calibri" w:hAnsi="Calibri" w:cs="Calibri"/>
          <w:lang w:val="fi-FI"/>
        </w:rPr>
      </w:pPr>
    </w:p>
    <w:p w14:paraId="1E3319DB" w14:textId="16F64F07" w:rsidR="00854B98" w:rsidRPr="001F2CCE" w:rsidRDefault="001F2CCE" w:rsidP="00FC5962">
      <w:pPr>
        <w:ind w:left="720"/>
        <w:rPr>
          <w:rFonts w:ascii="Calibri" w:hAnsi="Calibri" w:cs="Calibri"/>
          <w:lang w:val="fi-FI"/>
        </w:rPr>
      </w:pPr>
      <w:r w:rsidRPr="001F2CCE">
        <w:rPr>
          <w:rFonts w:ascii="Calibri" w:hAnsi="Calibri" w:cs="Calibri"/>
          <w:lang w:val="fi-FI"/>
        </w:rPr>
        <w:t xml:space="preserve">Uudistuksen </w:t>
      </w:r>
      <w:r w:rsidR="00FC59EE" w:rsidRPr="001F2CCE">
        <w:rPr>
          <w:rFonts w:ascii="Calibri" w:hAnsi="Calibri" w:cs="Calibri"/>
          <w:lang w:val="fi-FI"/>
        </w:rPr>
        <w:t xml:space="preserve">myötä apteekkien velvollisuutena on tarkistaa </w:t>
      </w:r>
      <w:proofErr w:type="spellStart"/>
      <w:r w:rsidR="00FC59EE" w:rsidRPr="001F2CCE">
        <w:rPr>
          <w:rFonts w:ascii="Calibri" w:hAnsi="Calibri" w:cs="Calibri"/>
          <w:lang w:val="fi-FI"/>
        </w:rPr>
        <w:t>lääkke</w:t>
      </w:r>
      <w:r w:rsidR="00664A85">
        <w:rPr>
          <w:rFonts w:ascii="Calibri" w:hAnsi="Calibri" w:cs="Calibri"/>
          <w:lang w:val="fi-FI"/>
        </w:rPr>
        <w:t>pakkauksen</w:t>
      </w:r>
      <w:proofErr w:type="spellEnd"/>
      <w:r w:rsidR="00FC59EE" w:rsidRPr="001F2CCE">
        <w:rPr>
          <w:rFonts w:ascii="Calibri" w:hAnsi="Calibri" w:cs="Calibri"/>
          <w:lang w:val="fi-FI"/>
        </w:rPr>
        <w:t xml:space="preserve"> </w:t>
      </w:r>
      <w:r w:rsidR="00FC5962">
        <w:rPr>
          <w:rFonts w:ascii="Calibri" w:hAnsi="Calibri" w:cs="Calibri"/>
          <w:lang w:val="fi-FI"/>
        </w:rPr>
        <w:t>turvamerkinnät.</w:t>
      </w:r>
      <w:r w:rsidR="00854B98" w:rsidRPr="001F2CCE">
        <w:rPr>
          <w:rFonts w:ascii="Calibri" w:hAnsi="Calibri" w:cs="Calibri"/>
          <w:lang w:val="fi-FI"/>
        </w:rPr>
        <w:t xml:space="preserve"> Uudet turvamerkinnät koostuvat kahdesta osasta</w:t>
      </w:r>
      <w:r w:rsidR="00DB223C" w:rsidRPr="001F2CCE">
        <w:rPr>
          <w:rFonts w:ascii="Calibri" w:hAnsi="Calibri" w:cs="Calibri"/>
          <w:lang w:val="fi-FI"/>
        </w:rPr>
        <w:t>:</w:t>
      </w:r>
      <w:r w:rsidR="00854B98" w:rsidRPr="001F2CCE">
        <w:rPr>
          <w:rFonts w:ascii="Calibri" w:hAnsi="Calibri" w:cs="Calibri"/>
          <w:lang w:val="fi-FI"/>
        </w:rPr>
        <w:t xml:space="preserve"> peukaloinnin paljastavasta mekanismista sekä lääkepakkauksen yksilöivästä koodista. </w:t>
      </w:r>
      <w:r w:rsidR="00FC59EE" w:rsidRPr="001F2CCE">
        <w:rPr>
          <w:rFonts w:ascii="Calibri" w:hAnsi="Calibri" w:cs="Calibri"/>
          <w:lang w:val="fi-FI"/>
        </w:rPr>
        <w:t xml:space="preserve">Tarkistus tapahtuu nopeasti, eikä se edellytä asiakkaalta mitään toimenpiteitä. </w:t>
      </w:r>
    </w:p>
    <w:p w14:paraId="2A04DFA4" w14:textId="18045E96" w:rsidR="004C32C4" w:rsidRPr="001F2CCE" w:rsidRDefault="004C32C4" w:rsidP="00FC59EE">
      <w:pPr>
        <w:ind w:left="720"/>
        <w:rPr>
          <w:rFonts w:ascii="Calibri" w:hAnsi="Calibri" w:cs="Calibri"/>
          <w:lang w:val="fi-FI"/>
        </w:rPr>
      </w:pPr>
    </w:p>
    <w:p w14:paraId="4B6B0781" w14:textId="5A40380B" w:rsidR="00FC59EE" w:rsidRPr="001F2CCE" w:rsidRDefault="00FC59EE" w:rsidP="00FC59EE">
      <w:pPr>
        <w:ind w:left="720"/>
        <w:rPr>
          <w:rFonts w:ascii="Calibri" w:hAnsi="Calibri" w:cs="Calibri"/>
          <w:lang w:val="fi-FI"/>
        </w:rPr>
      </w:pPr>
      <w:r w:rsidRPr="001F2CCE">
        <w:rPr>
          <w:rFonts w:ascii="Calibri" w:hAnsi="Calibri" w:cs="Calibri"/>
          <w:lang w:val="fi-FI"/>
        </w:rPr>
        <w:t>Järjestelmän käyttöönottoa on valmisteltu jo useiden vuosien ajan</w:t>
      </w:r>
      <w:r w:rsidR="00854B98" w:rsidRPr="001F2CCE">
        <w:rPr>
          <w:rFonts w:ascii="Calibri" w:hAnsi="Calibri" w:cs="Calibri"/>
          <w:lang w:val="fi-FI"/>
        </w:rPr>
        <w:t xml:space="preserve"> ja </w:t>
      </w:r>
      <w:r w:rsidRPr="001F2CCE">
        <w:rPr>
          <w:rFonts w:ascii="Calibri" w:hAnsi="Calibri" w:cs="Calibri"/>
          <w:lang w:val="fi-FI"/>
        </w:rPr>
        <w:t>testattu kattavasti yhteistyössä</w:t>
      </w:r>
      <w:r w:rsidR="00664A85">
        <w:rPr>
          <w:rFonts w:ascii="Calibri" w:hAnsi="Calibri" w:cs="Calibri"/>
          <w:lang w:val="fi-FI"/>
        </w:rPr>
        <w:t xml:space="preserve"> lääke</w:t>
      </w:r>
      <w:r w:rsidRPr="001F2CCE">
        <w:rPr>
          <w:rFonts w:ascii="Calibri" w:hAnsi="Calibri" w:cs="Calibri"/>
          <w:lang w:val="fi-FI"/>
        </w:rPr>
        <w:t xml:space="preserve">tukkujen, apteekkien ja sairaala-apteekkien kanssa. </w:t>
      </w:r>
      <w:r w:rsidR="00854B98" w:rsidRPr="001F2CCE">
        <w:rPr>
          <w:rFonts w:ascii="Calibri" w:hAnsi="Calibri" w:cs="Calibri"/>
          <w:lang w:val="fi-FI"/>
        </w:rPr>
        <w:t>Suomessa lääkevarmennusjärjestelmän rakentamisesta ja hallinnoinnista vastaa Suomen Lääkevarmennus Oy.</w:t>
      </w:r>
    </w:p>
    <w:p w14:paraId="05BFDC39" w14:textId="77777777" w:rsidR="00997326" w:rsidRPr="001F2CCE" w:rsidRDefault="00997326" w:rsidP="00997326">
      <w:pPr>
        <w:ind w:left="720"/>
        <w:rPr>
          <w:rFonts w:ascii="Calibri" w:hAnsi="Calibri" w:cs="Calibri"/>
          <w:lang w:val="fi-FI"/>
        </w:rPr>
      </w:pPr>
    </w:p>
    <w:p w14:paraId="074860E9" w14:textId="77777777" w:rsidR="00F14997" w:rsidRPr="001F2CCE" w:rsidRDefault="00F14997" w:rsidP="00F14997">
      <w:pPr>
        <w:ind w:left="720"/>
        <w:rPr>
          <w:rFonts w:ascii="Calibri" w:hAnsi="Calibri" w:cs="Calibri"/>
          <w:lang w:val="fi-FI"/>
        </w:rPr>
      </w:pPr>
      <w:r w:rsidRPr="000E64AC">
        <w:rPr>
          <w:rFonts w:ascii="Calibri" w:hAnsi="Calibri" w:cs="Calibri"/>
          <w:b/>
          <w:lang w:val="fi-FI"/>
        </w:rPr>
        <w:t>Lisätietoja:</w:t>
      </w:r>
      <w:r w:rsidRPr="001F2CCE">
        <w:rPr>
          <w:rFonts w:ascii="Calibri" w:hAnsi="Calibri" w:cs="Calibri"/>
          <w:lang w:val="fi-FI"/>
        </w:rPr>
        <w:t xml:space="preserve"> Toimitusjohtaja Maija Gohlke-Kokkonen, Suomen Lääkevarmennus Oy, </w:t>
      </w:r>
    </w:p>
    <w:p w14:paraId="7EBA8F80" w14:textId="77777777" w:rsidR="00F14997" w:rsidRPr="001F2CCE" w:rsidRDefault="00F14997" w:rsidP="00F14997">
      <w:pPr>
        <w:spacing w:line="480" w:lineRule="auto"/>
        <w:ind w:left="720"/>
        <w:rPr>
          <w:rFonts w:ascii="Calibri" w:hAnsi="Calibri" w:cs="Calibri"/>
          <w:lang w:val="fi-FI"/>
        </w:rPr>
      </w:pPr>
      <w:r w:rsidRPr="001F2CCE">
        <w:rPr>
          <w:rFonts w:ascii="Calibri" w:hAnsi="Calibri" w:cs="Calibri"/>
          <w:lang w:val="fi-FI"/>
        </w:rPr>
        <w:t>p. 040 7001655, maija.gohlke-kokkonen@fimvo.fi</w:t>
      </w:r>
    </w:p>
    <w:p w14:paraId="02D4FAD8" w14:textId="6144AE7A" w:rsidR="00F14997" w:rsidRPr="00664A85" w:rsidRDefault="001F2CCE" w:rsidP="00664A85">
      <w:pPr>
        <w:ind w:left="720"/>
        <w:rPr>
          <w:rFonts w:ascii="Calibri" w:hAnsi="Calibri" w:cs="Calibri"/>
          <w:i/>
          <w:sz w:val="20"/>
          <w:szCs w:val="20"/>
          <w:lang w:val="fi-FI"/>
        </w:rPr>
      </w:pPr>
      <w:r w:rsidRPr="00664A85">
        <w:rPr>
          <w:rFonts w:ascii="Calibri" w:hAnsi="Calibri" w:cs="Calibri"/>
          <w:i/>
          <w:sz w:val="20"/>
          <w:szCs w:val="20"/>
          <w:lang w:val="fi-FI"/>
        </w:rPr>
        <w:t xml:space="preserve">Suomen Lääkevarmennus Oy kehittää ja ylläpitää suomalaista lääkevarmennusjärjestelmää ja suojaa potilaita lääkeväärennöksiltä. </w:t>
      </w:r>
      <w:r w:rsidR="00214429" w:rsidRPr="00664A85">
        <w:rPr>
          <w:rFonts w:ascii="Calibri" w:hAnsi="Calibri" w:cs="Calibri"/>
          <w:i/>
          <w:sz w:val="20"/>
          <w:szCs w:val="20"/>
          <w:lang w:val="fi-FI"/>
        </w:rPr>
        <w:t xml:space="preserve">Suomen Lääkevarmennus Oy:n taustaorganisaatiot ovat Lääketeollisuus ry, Orion Oyj, Rinnakkaislääketeollisuus ry, Suomen Lääkerinnakkaistuojat ry, Suomen Apteekkariliitto sekä Lääke- ja terveyshuolto ry. </w:t>
      </w:r>
    </w:p>
    <w:sectPr w:rsidR="00F14997" w:rsidRPr="00664A85" w:rsidSect="008A10B6">
      <w:headerReference w:type="default" r:id="rId7"/>
      <w:footerReference w:type="default" r:id="rId8"/>
      <w:pgSz w:w="11900" w:h="16840"/>
      <w:pgMar w:top="-567" w:right="843" w:bottom="0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C3518" w14:textId="77777777" w:rsidR="00B5143C" w:rsidRDefault="00B5143C" w:rsidP="00E90376">
      <w:r>
        <w:separator/>
      </w:r>
    </w:p>
  </w:endnote>
  <w:endnote w:type="continuationSeparator" w:id="0">
    <w:p w14:paraId="2135ED7A" w14:textId="77777777" w:rsidR="00B5143C" w:rsidRDefault="00B5143C" w:rsidP="00E9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45EBA" w14:textId="77777777" w:rsidR="00FE42BD" w:rsidRDefault="00FE42BD" w:rsidP="00CF75CB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  <w:p w14:paraId="39D2D0B9" w14:textId="77777777" w:rsidR="007B0690" w:rsidRPr="00CF75CB" w:rsidRDefault="007B0690" w:rsidP="00FE42BD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866E" w14:textId="77777777" w:rsidR="00B5143C" w:rsidRDefault="00B5143C" w:rsidP="00E90376">
      <w:r>
        <w:separator/>
      </w:r>
    </w:p>
  </w:footnote>
  <w:footnote w:type="continuationSeparator" w:id="0">
    <w:p w14:paraId="7337871C" w14:textId="77777777" w:rsidR="00B5143C" w:rsidRDefault="00B5143C" w:rsidP="00E9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427B" w14:textId="77777777" w:rsidR="00E90376" w:rsidRDefault="00F31C11" w:rsidP="00E90376">
    <w:pPr>
      <w:pStyle w:val="Yltunniste"/>
      <w:ind w:left="-1134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F338E9" wp14:editId="13DB0E1A">
              <wp:simplePos x="0" y="0"/>
              <wp:positionH relativeFrom="column">
                <wp:posOffset>-759847</wp:posOffset>
              </wp:positionH>
              <wp:positionV relativeFrom="paragraph">
                <wp:posOffset>103367</wp:posOffset>
              </wp:positionV>
              <wp:extent cx="7697028" cy="11062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7028" cy="11062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B635C4" w14:textId="77777777" w:rsidR="00F31C11" w:rsidRPr="00F31C11" w:rsidRDefault="00F31C11" w:rsidP="00F31C11">
                          <w:pPr>
                            <w:jc w:val="center"/>
                            <w:rPr>
                              <w:color w:val="FFFFFF" w:themeColor="background1"/>
                              <w:lang w:val="fi-FI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F338E9" id="Rectangle 3" o:spid="_x0000_s1026" style="position:absolute;left:0;text-align:left;margin-left:-59.85pt;margin-top:8.15pt;width:606.05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" fillcolor="white [3212]" stroked="f" strokeweight="1pt">
              <v:textbox>
                <w:txbxContent>
                  <w:p w14:paraId="33B635C4" w14:textId="77777777" w:rsidR="00F31C11" w:rsidRPr="00F31C11" w:rsidRDefault="00F31C11" w:rsidP="00F31C11">
                    <w:pPr>
                      <w:jc w:val="center"/>
                      <w:rPr>
                        <w:color w:val="FFFFFF" w:themeColor="background1"/>
                        <w:lang w:val="fi-FI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E90376">
      <w:rPr>
        <w:noProof/>
        <w:lang w:val="fi-FI" w:eastAsia="fi-FI"/>
      </w:rPr>
      <w:drawing>
        <wp:inline distT="0" distB="0" distL="0" distR="0" wp14:anchorId="55B8AB8C" wp14:editId="289A0B3A">
          <wp:extent cx="7606665" cy="201757"/>
          <wp:effectExtent l="0" t="0" r="0" b="1905"/>
          <wp:docPr id="3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lkki.gi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428908" cy="22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43470" w14:textId="77777777" w:rsidR="00E90376" w:rsidRDefault="00E90376" w:rsidP="00E90376">
    <w:pPr>
      <w:pStyle w:val="Yltunniste"/>
      <w:ind w:left="-1134"/>
    </w:pPr>
  </w:p>
  <w:p w14:paraId="230C78AB" w14:textId="77777777" w:rsidR="00E90376" w:rsidRDefault="00E90376" w:rsidP="00E90376">
    <w:pPr>
      <w:pStyle w:val="Yltunniste"/>
    </w:pPr>
    <w:r>
      <w:rPr>
        <w:noProof/>
        <w:lang w:val="fi-FI" w:eastAsia="fi-FI"/>
      </w:rPr>
      <w:drawing>
        <wp:inline distT="0" distB="0" distL="0" distR="0" wp14:anchorId="38AD8317" wp14:editId="738AED15">
          <wp:extent cx="1520256" cy="463716"/>
          <wp:effectExtent l="0" t="0" r="3810" b="0"/>
          <wp:docPr id="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aa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784" cy="49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7DF2A4" w14:textId="77777777" w:rsidR="00E90376" w:rsidRDefault="00E90376" w:rsidP="00E9037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0B90"/>
    <w:multiLevelType w:val="hybridMultilevel"/>
    <w:tmpl w:val="A2646B28"/>
    <w:lvl w:ilvl="0" w:tplc="1B68EBB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0"/>
    <w:rsid w:val="00007852"/>
    <w:rsid w:val="00056CAA"/>
    <w:rsid w:val="00076C5E"/>
    <w:rsid w:val="000D12F6"/>
    <w:rsid w:val="000D2602"/>
    <w:rsid w:val="000D3347"/>
    <w:rsid w:val="000E0E96"/>
    <w:rsid w:val="000E22F1"/>
    <w:rsid w:val="000E64AC"/>
    <w:rsid w:val="001104C5"/>
    <w:rsid w:val="00111E93"/>
    <w:rsid w:val="0012369C"/>
    <w:rsid w:val="00154672"/>
    <w:rsid w:val="00173577"/>
    <w:rsid w:val="001815B1"/>
    <w:rsid w:val="00195182"/>
    <w:rsid w:val="001B6F5C"/>
    <w:rsid w:val="001D0B9F"/>
    <w:rsid w:val="001D4A77"/>
    <w:rsid w:val="001E1319"/>
    <w:rsid w:val="001E5A55"/>
    <w:rsid w:val="001F2CCE"/>
    <w:rsid w:val="00202E78"/>
    <w:rsid w:val="00214429"/>
    <w:rsid w:val="00227FFD"/>
    <w:rsid w:val="002B4BD1"/>
    <w:rsid w:val="002C4C5C"/>
    <w:rsid w:val="002C5138"/>
    <w:rsid w:val="002E0E48"/>
    <w:rsid w:val="002E7960"/>
    <w:rsid w:val="00301C51"/>
    <w:rsid w:val="00317017"/>
    <w:rsid w:val="00355BC6"/>
    <w:rsid w:val="00382090"/>
    <w:rsid w:val="003878B2"/>
    <w:rsid w:val="003B7D0E"/>
    <w:rsid w:val="0040545D"/>
    <w:rsid w:val="0042385D"/>
    <w:rsid w:val="00452C27"/>
    <w:rsid w:val="0045361B"/>
    <w:rsid w:val="00476FAB"/>
    <w:rsid w:val="00483694"/>
    <w:rsid w:val="004B6DC3"/>
    <w:rsid w:val="004C2D09"/>
    <w:rsid w:val="004C32C4"/>
    <w:rsid w:val="004C662E"/>
    <w:rsid w:val="004D6574"/>
    <w:rsid w:val="004E40B4"/>
    <w:rsid w:val="00523086"/>
    <w:rsid w:val="00523242"/>
    <w:rsid w:val="00554267"/>
    <w:rsid w:val="0055561D"/>
    <w:rsid w:val="00566CBC"/>
    <w:rsid w:val="005B0232"/>
    <w:rsid w:val="005D0250"/>
    <w:rsid w:val="005E02FC"/>
    <w:rsid w:val="00604901"/>
    <w:rsid w:val="0062079F"/>
    <w:rsid w:val="0063357A"/>
    <w:rsid w:val="0065145E"/>
    <w:rsid w:val="00664A85"/>
    <w:rsid w:val="00673629"/>
    <w:rsid w:val="00681A53"/>
    <w:rsid w:val="0069452A"/>
    <w:rsid w:val="00696998"/>
    <w:rsid w:val="006A2D6C"/>
    <w:rsid w:val="006C67E3"/>
    <w:rsid w:val="00702D61"/>
    <w:rsid w:val="00740BB5"/>
    <w:rsid w:val="0074380E"/>
    <w:rsid w:val="007456BD"/>
    <w:rsid w:val="0076784C"/>
    <w:rsid w:val="007955F1"/>
    <w:rsid w:val="007A7689"/>
    <w:rsid w:val="007B0690"/>
    <w:rsid w:val="007B0AEE"/>
    <w:rsid w:val="007B6F0C"/>
    <w:rsid w:val="007C597B"/>
    <w:rsid w:val="00845CEC"/>
    <w:rsid w:val="00845D01"/>
    <w:rsid w:val="00845FB1"/>
    <w:rsid w:val="00846A6E"/>
    <w:rsid w:val="008506CD"/>
    <w:rsid w:val="00854B98"/>
    <w:rsid w:val="008553E8"/>
    <w:rsid w:val="008866F1"/>
    <w:rsid w:val="00892B9F"/>
    <w:rsid w:val="008A10B6"/>
    <w:rsid w:val="008D24E8"/>
    <w:rsid w:val="008E55D0"/>
    <w:rsid w:val="008F26C1"/>
    <w:rsid w:val="00903598"/>
    <w:rsid w:val="00932155"/>
    <w:rsid w:val="00951542"/>
    <w:rsid w:val="0096627C"/>
    <w:rsid w:val="00974F85"/>
    <w:rsid w:val="00991C0D"/>
    <w:rsid w:val="009933F4"/>
    <w:rsid w:val="0099340B"/>
    <w:rsid w:val="00997326"/>
    <w:rsid w:val="009B1559"/>
    <w:rsid w:val="009B236B"/>
    <w:rsid w:val="009C73EB"/>
    <w:rsid w:val="009D2605"/>
    <w:rsid w:val="009D3EF2"/>
    <w:rsid w:val="009F7266"/>
    <w:rsid w:val="00A00828"/>
    <w:rsid w:val="00A04421"/>
    <w:rsid w:val="00A231AA"/>
    <w:rsid w:val="00A24C81"/>
    <w:rsid w:val="00A301B5"/>
    <w:rsid w:val="00A944EF"/>
    <w:rsid w:val="00AA29F9"/>
    <w:rsid w:val="00AB28E3"/>
    <w:rsid w:val="00AB4A6E"/>
    <w:rsid w:val="00AB6764"/>
    <w:rsid w:val="00AB7E36"/>
    <w:rsid w:val="00AC22AA"/>
    <w:rsid w:val="00AC282A"/>
    <w:rsid w:val="00AD3A24"/>
    <w:rsid w:val="00AE755A"/>
    <w:rsid w:val="00AF5D4C"/>
    <w:rsid w:val="00B11E29"/>
    <w:rsid w:val="00B419D1"/>
    <w:rsid w:val="00B5143C"/>
    <w:rsid w:val="00B8468E"/>
    <w:rsid w:val="00B8582D"/>
    <w:rsid w:val="00BA2C02"/>
    <w:rsid w:val="00BA6692"/>
    <w:rsid w:val="00BB27E3"/>
    <w:rsid w:val="00BE0490"/>
    <w:rsid w:val="00BE0BBC"/>
    <w:rsid w:val="00C059ED"/>
    <w:rsid w:val="00C33969"/>
    <w:rsid w:val="00C73451"/>
    <w:rsid w:val="00C83C37"/>
    <w:rsid w:val="00C85E03"/>
    <w:rsid w:val="00C9296B"/>
    <w:rsid w:val="00C92CFF"/>
    <w:rsid w:val="00CB3320"/>
    <w:rsid w:val="00CE5A6B"/>
    <w:rsid w:val="00CE62EE"/>
    <w:rsid w:val="00CF2416"/>
    <w:rsid w:val="00CF75CB"/>
    <w:rsid w:val="00D2170D"/>
    <w:rsid w:val="00D40D59"/>
    <w:rsid w:val="00D43DCA"/>
    <w:rsid w:val="00D94DCC"/>
    <w:rsid w:val="00D965A6"/>
    <w:rsid w:val="00DB223C"/>
    <w:rsid w:val="00DD0574"/>
    <w:rsid w:val="00E04CDB"/>
    <w:rsid w:val="00E277EE"/>
    <w:rsid w:val="00E4380F"/>
    <w:rsid w:val="00E453DE"/>
    <w:rsid w:val="00E54E3E"/>
    <w:rsid w:val="00E65BB7"/>
    <w:rsid w:val="00E751FE"/>
    <w:rsid w:val="00E90376"/>
    <w:rsid w:val="00E92DA5"/>
    <w:rsid w:val="00EB6B8A"/>
    <w:rsid w:val="00EB7523"/>
    <w:rsid w:val="00EF2BF8"/>
    <w:rsid w:val="00EF341B"/>
    <w:rsid w:val="00F14997"/>
    <w:rsid w:val="00F15388"/>
    <w:rsid w:val="00F21AC7"/>
    <w:rsid w:val="00F2654F"/>
    <w:rsid w:val="00F2681C"/>
    <w:rsid w:val="00F31C11"/>
    <w:rsid w:val="00F53DFD"/>
    <w:rsid w:val="00F612F3"/>
    <w:rsid w:val="00F6154E"/>
    <w:rsid w:val="00F82C48"/>
    <w:rsid w:val="00F92A47"/>
    <w:rsid w:val="00FA0479"/>
    <w:rsid w:val="00FA237C"/>
    <w:rsid w:val="00FB0CA3"/>
    <w:rsid w:val="00FB11B1"/>
    <w:rsid w:val="00FC158F"/>
    <w:rsid w:val="00FC5962"/>
    <w:rsid w:val="00FC59EE"/>
    <w:rsid w:val="00FD31D4"/>
    <w:rsid w:val="00FD6469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DE217"/>
  <w14:defaultImageDpi w14:val="32767"/>
  <w15:docId w15:val="{060D9B36-6000-48AC-A4B5-185EB7CF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0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B67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0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90376"/>
  </w:style>
  <w:style w:type="paragraph" w:styleId="Alatunniste">
    <w:name w:val="footer"/>
    <w:basedOn w:val="Normaali"/>
    <w:link w:val="Ala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90376"/>
  </w:style>
  <w:style w:type="paragraph" w:styleId="Seliteteksti">
    <w:name w:val="Balloon Text"/>
    <w:basedOn w:val="Normaali"/>
    <w:link w:val="SelitetekstiChar"/>
    <w:uiPriority w:val="99"/>
    <w:semiHidden/>
    <w:unhideWhenUsed/>
    <w:rsid w:val="005E02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02FC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AB6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E277EE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FC596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C596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C596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C596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C59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2017</Characters>
  <Application>Microsoft Office Word</Application>
  <DocSecurity>4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Gohlke-Kokkonen Maija</dc:creator>
  <cp:lastModifiedBy>Newton-Kolehmainen Katriina</cp:lastModifiedBy>
  <cp:revision>2</cp:revision>
  <cp:lastPrinted>2019-02-01T10:07:00Z</cp:lastPrinted>
  <dcterms:created xsi:type="dcterms:W3CDTF">2019-02-01T14:11:00Z</dcterms:created>
  <dcterms:modified xsi:type="dcterms:W3CDTF">2019-02-01T14:11:00Z</dcterms:modified>
</cp:coreProperties>
</file>